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C0BB3" w14:textId="3C88AEC6" w:rsidR="003139C7" w:rsidRDefault="00CC31D2" w:rsidP="000024A1">
      <w:pPr>
        <w:spacing w:line="480" w:lineRule="auto"/>
        <w:rPr>
          <w:b/>
        </w:rPr>
      </w:pPr>
      <w:r>
        <w:rPr>
          <w:b/>
        </w:rPr>
        <w:t xml:space="preserve">Oregon Trial Court’s Award of Reduced Attorney Fees Subject to Remand </w:t>
      </w:r>
      <w:r w:rsidR="00751FA7">
        <w:rPr>
          <w:b/>
        </w:rPr>
        <w:t xml:space="preserve">Due </w:t>
      </w:r>
      <w:r>
        <w:rPr>
          <w:b/>
        </w:rPr>
        <w:t xml:space="preserve">to Insufficient Explanation </w:t>
      </w:r>
    </w:p>
    <w:p w14:paraId="24D993E4" w14:textId="77777777" w:rsidR="00AF3D5E" w:rsidRDefault="00AF3D5E" w:rsidP="000024A1">
      <w:pPr>
        <w:spacing w:line="480" w:lineRule="auto"/>
        <w:rPr>
          <w:b/>
        </w:rPr>
      </w:pPr>
    </w:p>
    <w:p w14:paraId="4A0B5EB4" w14:textId="1A0926E4" w:rsidR="00AF3D5E" w:rsidRDefault="00AF3D5E" w:rsidP="000024A1">
      <w:pPr>
        <w:spacing w:line="480" w:lineRule="auto"/>
      </w:pPr>
      <w:r>
        <w:rPr>
          <w:b/>
        </w:rPr>
        <w:t xml:space="preserve">From the desk of Josh Hayward: </w:t>
      </w:r>
      <w:r w:rsidR="00CA7183">
        <w:t xml:space="preserve">Attorney fee exposure can cause small </w:t>
      </w:r>
      <w:r w:rsidR="00C31A68">
        <w:t xml:space="preserve">cases </w:t>
      </w:r>
      <w:r w:rsidR="00CA7183">
        <w:t xml:space="preserve">to turn into big </w:t>
      </w:r>
      <w:r w:rsidR="00D25A3A">
        <w:t>problems</w:t>
      </w:r>
      <w:r w:rsidR="00CA7183">
        <w:t>. In some cases</w:t>
      </w:r>
      <w:r w:rsidR="00C31A68">
        <w:t>,</w:t>
      </w:r>
      <w:r w:rsidR="00B0184B">
        <w:t xml:space="preserve"> the prevailing party’s fees may be reduced by t</w:t>
      </w:r>
      <w:r w:rsidR="00C31A68">
        <w:t>he trial court if they are unreasonable, unrelated</w:t>
      </w:r>
      <w:r w:rsidR="00B0184B">
        <w:t>, or excessive</w:t>
      </w:r>
      <w:r w:rsidR="00C31A68">
        <w:t xml:space="preserve">. </w:t>
      </w:r>
      <w:r w:rsidR="00B0184B">
        <w:t xml:space="preserve">What factors does a judge </w:t>
      </w:r>
      <w:r w:rsidR="000853E3">
        <w:t>weigh</w:t>
      </w:r>
      <w:r w:rsidR="00B0184B">
        <w:t xml:space="preserve"> when </w:t>
      </w:r>
      <w:r w:rsidR="000853E3">
        <w:t>m</w:t>
      </w:r>
      <w:r w:rsidR="00B0184B">
        <w:t xml:space="preserve">aking such a reduction? </w:t>
      </w:r>
      <w:r w:rsidR="000853E3">
        <w:t>D</w:t>
      </w:r>
      <w:r w:rsidR="00C31A68">
        <w:t>oes the court have t</w:t>
      </w:r>
      <w:r w:rsidR="00B0184B">
        <w:t>o</w:t>
      </w:r>
      <w:r w:rsidR="00C31A68">
        <w:t xml:space="preserve"> </w:t>
      </w:r>
      <w:r w:rsidR="000853E3">
        <w:t>explain its reasoning</w:t>
      </w:r>
      <w:r w:rsidR="00C31A68">
        <w:t xml:space="preserve"> when it </w:t>
      </w:r>
      <w:r w:rsidR="00B0184B">
        <w:t>does so</w:t>
      </w:r>
      <w:r w:rsidR="00C31A68">
        <w:t xml:space="preserve">? Read on to find out. </w:t>
      </w:r>
    </w:p>
    <w:p w14:paraId="313D072B" w14:textId="77777777" w:rsidR="00AF3D5E" w:rsidRDefault="00AF3D5E" w:rsidP="000024A1">
      <w:pPr>
        <w:spacing w:line="480" w:lineRule="auto"/>
      </w:pPr>
    </w:p>
    <w:p w14:paraId="0D48C60E" w14:textId="0FF4EFA5" w:rsidR="00AF3D5E" w:rsidRDefault="00AF3D5E" w:rsidP="000024A1">
      <w:pPr>
        <w:spacing w:line="480" w:lineRule="auto"/>
      </w:pPr>
      <w:r>
        <w:rPr>
          <w:b/>
        </w:rPr>
        <w:t xml:space="preserve">Case Pointer: </w:t>
      </w:r>
      <w:r>
        <w:t xml:space="preserve">In this </w:t>
      </w:r>
      <w:r w:rsidR="00C31A68">
        <w:t>dispute</w:t>
      </w:r>
      <w:r w:rsidR="00D25A3A">
        <w:t xml:space="preserve"> with attorney fee exposure</w:t>
      </w:r>
      <w:r w:rsidR="00C31A68">
        <w:t xml:space="preserve">, </w:t>
      </w:r>
      <w:r w:rsidR="00D25A3A">
        <w:t>the</w:t>
      </w:r>
      <w:r w:rsidR="00C31A68">
        <w:t xml:space="preserve"> plaintiff </w:t>
      </w:r>
      <w:r w:rsidR="00D25A3A">
        <w:t>received</w:t>
      </w:r>
      <w:r w:rsidR="004E3901">
        <w:t xml:space="preserve"> an award</w:t>
      </w:r>
      <w:r w:rsidR="00C31A68">
        <w:t xml:space="preserve"> </w:t>
      </w:r>
      <w:r w:rsidR="00D25A3A">
        <w:t>of</w:t>
      </w:r>
      <w:r w:rsidR="00C31A68">
        <w:t xml:space="preserve"> $</w:t>
      </w:r>
      <w:r w:rsidR="004E3901">
        <w:t>3,600 at the trial court</w:t>
      </w:r>
      <w:r w:rsidR="00C31A68">
        <w:t xml:space="preserve"> and sought more than $7,000 in attorney fees. The trial court </w:t>
      </w:r>
      <w:r w:rsidR="00D25A3A">
        <w:t>only</w:t>
      </w:r>
      <w:r w:rsidR="00C31A68">
        <w:t xml:space="preserve"> awarded $2,000</w:t>
      </w:r>
      <w:r w:rsidR="004E3901">
        <w:t xml:space="preserve"> in a single sentence opinion letter</w:t>
      </w:r>
      <w:r w:rsidR="00C31A68">
        <w:t xml:space="preserve">. The plaintiff appealed, </w:t>
      </w:r>
      <w:r w:rsidR="00B0184B">
        <w:t>arguing that the trial court abused its discretion in making such a large reduction without adequate explanation.</w:t>
      </w:r>
      <w:r w:rsidR="00C31A68">
        <w:t xml:space="preserve"> The court of appeals </w:t>
      </w:r>
      <w:r w:rsidR="00B0184B">
        <w:t xml:space="preserve">reviewed the trial court’s decision and found that there </w:t>
      </w:r>
      <w:r w:rsidR="00751FA7">
        <w:t xml:space="preserve">was </w:t>
      </w:r>
      <w:r w:rsidR="00D25A3A">
        <w:t>not enough of an explanation provided</w:t>
      </w:r>
      <w:r w:rsidR="004E01DF">
        <w:t xml:space="preserve"> by the trial court</w:t>
      </w:r>
      <w:r w:rsidR="00D25A3A">
        <w:t xml:space="preserve"> to allow the court to adequately review the decision</w:t>
      </w:r>
      <w:r w:rsidR="00B0184B">
        <w:t xml:space="preserve">. Because of the </w:t>
      </w:r>
      <w:r w:rsidR="00D25A3A">
        <w:t>insufficient</w:t>
      </w:r>
      <w:r w:rsidR="00B0184B">
        <w:t xml:space="preserve"> record, the court remanded </w:t>
      </w:r>
      <w:r w:rsidR="00D25A3A">
        <w:t xml:space="preserve">the case </w:t>
      </w:r>
      <w:r w:rsidR="00751FA7">
        <w:t xml:space="preserve">back </w:t>
      </w:r>
      <w:r w:rsidR="00B0184B">
        <w:t xml:space="preserve">to the trial court to provide </w:t>
      </w:r>
      <w:r w:rsidR="00D25A3A">
        <w:t>an</w:t>
      </w:r>
      <w:r w:rsidR="00B0184B">
        <w:t xml:space="preserve"> explanation of its reasoning.</w:t>
      </w:r>
      <w:r w:rsidR="00C31A68">
        <w:t xml:space="preserve"> Attorney fee</w:t>
      </w:r>
      <w:r w:rsidR="00D25A3A">
        <w:t xml:space="preserve"> exposure is</w:t>
      </w:r>
      <w:r w:rsidR="00C31A68">
        <w:t xml:space="preserve"> common in insurance defense</w:t>
      </w:r>
      <w:r w:rsidR="007D1D9C">
        <w:t xml:space="preserve">, </w:t>
      </w:r>
      <w:r w:rsidR="00C31A68">
        <w:t>especially in 20.080 actions</w:t>
      </w:r>
      <w:r w:rsidR="007D1D9C">
        <w:t xml:space="preserve"> and first party cases. T</w:t>
      </w:r>
      <w:r w:rsidR="00C31A68">
        <w:t>his case provides a</w:t>
      </w:r>
      <w:r w:rsidR="00B0184B">
        <w:t xml:space="preserve"> good</w:t>
      </w:r>
      <w:r w:rsidR="00C31A68">
        <w:t xml:space="preserve"> overview of </w:t>
      </w:r>
      <w:r w:rsidR="004E3901">
        <w:t xml:space="preserve">the factors that go into a </w:t>
      </w:r>
      <w:r w:rsidR="007D1D9C">
        <w:t>court will consider when making an</w:t>
      </w:r>
      <w:r w:rsidR="004E3901">
        <w:t xml:space="preserve"> attorney fee award</w:t>
      </w:r>
      <w:r w:rsidR="00B0184B">
        <w:t>.</w:t>
      </w:r>
      <w:r w:rsidR="00C31A68">
        <w:t xml:space="preserve"> </w:t>
      </w:r>
    </w:p>
    <w:p w14:paraId="3BE2BADD" w14:textId="77777777" w:rsidR="00AF3D5E" w:rsidRDefault="00AF3D5E" w:rsidP="000024A1">
      <w:pPr>
        <w:spacing w:line="480" w:lineRule="auto"/>
      </w:pPr>
    </w:p>
    <w:p w14:paraId="04277779" w14:textId="6EAA4002" w:rsidR="00AF3D5E" w:rsidRDefault="00C31A68" w:rsidP="000024A1">
      <w:pPr>
        <w:spacing w:line="480" w:lineRule="auto"/>
      </w:pPr>
      <w:r>
        <w:rPr>
          <w:u w:val="single"/>
        </w:rPr>
        <w:t>Moreau v. Samalin</w:t>
      </w:r>
      <w:r w:rsidR="00AF3D5E">
        <w:t xml:space="preserve">, </w:t>
      </w:r>
      <w:r>
        <w:t>295 Or App 534</w:t>
      </w:r>
      <w:r w:rsidR="00AF3D5E">
        <w:t xml:space="preserve"> (</w:t>
      </w:r>
      <w:r>
        <w:t>January 3</w:t>
      </w:r>
      <w:r w:rsidR="00AF3D5E">
        <w:t>, 201</w:t>
      </w:r>
      <w:r>
        <w:t>9</w:t>
      </w:r>
      <w:r w:rsidR="00AF3D5E">
        <w:t>)</w:t>
      </w:r>
      <w:r>
        <w:t>.</w:t>
      </w:r>
    </w:p>
    <w:p w14:paraId="4F500411" w14:textId="007CE8FE" w:rsidR="0021587D" w:rsidRDefault="0021587D" w:rsidP="000024A1">
      <w:pPr>
        <w:spacing w:line="480" w:lineRule="auto"/>
      </w:pPr>
    </w:p>
    <w:p w14:paraId="5302F69E" w14:textId="6410CE5B" w:rsidR="00160860" w:rsidRDefault="00B0184B" w:rsidP="000024A1">
      <w:pPr>
        <w:spacing w:line="480" w:lineRule="auto"/>
      </w:pPr>
      <w:r>
        <w:t xml:space="preserve">Sandra Moreau (“Plaintiff”) agreed to rent an apartment from </w:t>
      </w:r>
      <w:r w:rsidR="00F10337">
        <w:t xml:space="preserve">the </w:t>
      </w:r>
      <w:r>
        <w:t>defendant</w:t>
      </w:r>
      <w:r w:rsidR="004F01BD">
        <w:t>, a landlord,</w:t>
      </w:r>
      <w:r>
        <w:t xml:space="preserve"> in</w:t>
      </w:r>
      <w:r w:rsidR="004E3901">
        <w:t xml:space="preserve"> Portland</w:t>
      </w:r>
      <w:r>
        <w:t>.</w:t>
      </w:r>
      <w:r w:rsidR="004E3901">
        <w:t xml:space="preserve"> </w:t>
      </w:r>
      <w:r w:rsidR="007D1D9C">
        <w:t>The</w:t>
      </w:r>
      <w:r w:rsidR="004E3901">
        <w:t xml:space="preserve"> </w:t>
      </w:r>
      <w:r w:rsidR="004F01BD">
        <w:t xml:space="preserve">plaintiff found the apartment </w:t>
      </w:r>
      <w:r w:rsidR="007D1D9C">
        <w:t xml:space="preserve">to be </w:t>
      </w:r>
      <w:r w:rsidR="004F01BD">
        <w:t>uninhabitable when she moved in</w:t>
      </w:r>
      <w:r w:rsidR="004E3901">
        <w:t>. After</w:t>
      </w:r>
      <w:r w:rsidR="004F01BD">
        <w:t xml:space="preserve"> </w:t>
      </w:r>
      <w:r w:rsidR="004F01BD">
        <w:lastRenderedPageBreak/>
        <w:t>terminating her lease, she</w:t>
      </w:r>
      <w:r w:rsidR="004E3901">
        <w:t xml:space="preserve"> unsuccessfully s</w:t>
      </w:r>
      <w:r w:rsidR="004F01BD">
        <w:t>ought</w:t>
      </w:r>
      <w:r w:rsidR="004E3901">
        <w:t xml:space="preserve"> the return of her deposit</w:t>
      </w:r>
      <w:r w:rsidR="004F01BD">
        <w:t xml:space="preserve"> and</w:t>
      </w:r>
      <w:r w:rsidR="004E3901">
        <w:t xml:space="preserve"> filed a lawsuit under Oregon’s Residential Landlord and Tenant Act (ORLTA). She secured a default judgment against </w:t>
      </w:r>
      <w:r>
        <w:t>defendant</w:t>
      </w:r>
      <w:r w:rsidR="004E3901">
        <w:t xml:space="preserve"> for $3,600 and sought </w:t>
      </w:r>
      <w:r w:rsidR="00DC1D3D">
        <w:t xml:space="preserve">$3,054 in </w:t>
      </w:r>
      <w:r w:rsidR="004F01BD">
        <w:t>attorney fees as authorized by the statute</w:t>
      </w:r>
      <w:r w:rsidR="004E3901">
        <w:t xml:space="preserve">. </w:t>
      </w:r>
      <w:r w:rsidR="007D1D9C">
        <w:t xml:space="preserve">Following the judgment, defendant hired an attorney. </w:t>
      </w:r>
      <w:r w:rsidR="00DC1D3D">
        <w:t>Defendant’s counsel</w:t>
      </w:r>
      <w:r w:rsidR="004E3901">
        <w:t xml:space="preserve"> filed several motions for relief from </w:t>
      </w:r>
      <w:r w:rsidR="007D1D9C">
        <w:t xml:space="preserve">default </w:t>
      </w:r>
      <w:r w:rsidR="00DC1D3D">
        <w:t>and a motion to dismiss</w:t>
      </w:r>
      <w:r w:rsidR="007D1D9C">
        <w:t>. E</w:t>
      </w:r>
      <w:r w:rsidR="00DC1D3D">
        <w:t>ach was denied</w:t>
      </w:r>
      <w:r w:rsidR="004E3901">
        <w:t xml:space="preserve">. After </w:t>
      </w:r>
      <w:r w:rsidR="007D1D9C">
        <w:t>litigating</w:t>
      </w:r>
      <w:r w:rsidR="004E3901">
        <w:t xml:space="preserve"> these motions, Plaintiff filed an amended attorney fee petition for $7,018.75. Defendant</w:t>
      </w:r>
      <w:r w:rsidR="004F01BD">
        <w:t xml:space="preserve"> objected to the amount of requested attorney fees and Plaintiff filed a</w:t>
      </w:r>
      <w:r w:rsidR="004E3901">
        <w:t xml:space="preserve"> surreply</w:t>
      </w:r>
      <w:r w:rsidR="004F01BD">
        <w:t xml:space="preserve"> with an explanation of the reasons for the amount. Neither party requested a he</w:t>
      </w:r>
      <w:r w:rsidR="00B903E3">
        <w:t>aring and t</w:t>
      </w:r>
      <w:r w:rsidR="004E3901">
        <w:t xml:space="preserve">he court issued a </w:t>
      </w:r>
      <w:r w:rsidR="00B903E3">
        <w:t xml:space="preserve">one sentence </w:t>
      </w:r>
      <w:r w:rsidR="004E3901">
        <w:t>letter opinion awarding Plaintiff $2,000 in at</w:t>
      </w:r>
      <w:r w:rsidR="00B903E3">
        <w:t>torney fees. Plaintiff appealed.</w:t>
      </w:r>
    </w:p>
    <w:p w14:paraId="0CA32A54" w14:textId="6A9B9B80" w:rsidR="004E3901" w:rsidRDefault="004E3901" w:rsidP="000024A1">
      <w:pPr>
        <w:spacing w:line="480" w:lineRule="auto"/>
      </w:pPr>
    </w:p>
    <w:p w14:paraId="6EA9662C" w14:textId="5FCEBB96" w:rsidR="004E3901" w:rsidRDefault="004E3901" w:rsidP="000024A1">
      <w:pPr>
        <w:spacing w:line="480" w:lineRule="auto"/>
      </w:pPr>
      <w:r>
        <w:t xml:space="preserve">On appeal, the court sought to tease out the trial court’s reasons for its award of </w:t>
      </w:r>
      <w:r w:rsidR="00DC1D3D">
        <w:t xml:space="preserve">only </w:t>
      </w:r>
      <w:r>
        <w:t xml:space="preserve">28% of Plaintiff’s requested fees. </w:t>
      </w:r>
      <w:r w:rsidR="00DC1D3D">
        <w:t>The court explained the law behind an award of discretionary attorney fees,</w:t>
      </w:r>
      <w:r>
        <w:t xml:space="preserve"> </w:t>
      </w:r>
      <w:r w:rsidR="00D60A92">
        <w:t xml:space="preserve">noting </w:t>
      </w:r>
      <w:r>
        <w:t>the numerous factors that trial courts must weigh</w:t>
      </w:r>
      <w:r w:rsidR="00DC1D3D">
        <w:t>.</w:t>
      </w:r>
      <w:r>
        <w:t xml:space="preserve"> </w:t>
      </w:r>
      <w:r w:rsidR="00481795">
        <w:t>The 17</w:t>
      </w:r>
      <w:r w:rsidR="00DC1D3D">
        <w:t xml:space="preserve"> </w:t>
      </w:r>
      <w:r w:rsidR="00481795">
        <w:t>factors—</w:t>
      </w:r>
      <w:r w:rsidR="00DC1D3D">
        <w:t>listed</w:t>
      </w:r>
      <w:r w:rsidR="00481795">
        <w:t xml:space="preserve"> in ORS 20.075(2)—include, among others, (1) the time and labor required; (2) the fee customarily charged in the locality for</w:t>
      </w:r>
      <w:r w:rsidR="00B903E3">
        <w:t xml:space="preserve"> the same</w:t>
      </w:r>
      <w:r w:rsidR="00481795">
        <w:t xml:space="preserve"> services; (3) the skill needed to perform the legal services; and (4) the novelty and difficulty of the questions involved. The court noted that </w:t>
      </w:r>
      <w:r w:rsidR="00B903E3">
        <w:t xml:space="preserve">a </w:t>
      </w:r>
      <w:r w:rsidR="00481795">
        <w:t xml:space="preserve">trial court </w:t>
      </w:r>
      <w:r w:rsidR="00B903E3">
        <w:t>is</w:t>
      </w:r>
      <w:r w:rsidR="00481795">
        <w:t xml:space="preserve"> entitled to assign </w:t>
      </w:r>
      <w:r w:rsidR="00DC1D3D">
        <w:t>any weight</w:t>
      </w:r>
      <w:r w:rsidR="00481795">
        <w:t xml:space="preserve"> to the 17 factors it sees fit. </w:t>
      </w:r>
      <w:r w:rsidR="00DC1D3D">
        <w:t xml:space="preserve">Finally, the court of appeals explained that, when </w:t>
      </w:r>
      <w:r w:rsidR="00B903E3">
        <w:t>it receives an appeal of</w:t>
      </w:r>
      <w:r w:rsidR="00DC1D3D">
        <w:t xml:space="preserve"> an attorney fee award or reduction, it </w:t>
      </w:r>
      <w:r w:rsidR="00481795">
        <w:t xml:space="preserve">must </w:t>
      </w:r>
      <w:r w:rsidR="00D60A92">
        <w:t xml:space="preserve">inspect </w:t>
      </w:r>
      <w:r w:rsidR="00481795">
        <w:t xml:space="preserve">the record to determine whether the trial court abused its discretion in examining the 17 factors </w:t>
      </w:r>
      <w:r w:rsidR="00DC1D3D">
        <w:t>of ORS 20.075(2).</w:t>
      </w:r>
    </w:p>
    <w:p w14:paraId="1231B033" w14:textId="17414E00" w:rsidR="00481795" w:rsidRDefault="00481795" w:rsidP="000024A1">
      <w:pPr>
        <w:spacing w:line="480" w:lineRule="auto"/>
      </w:pPr>
    </w:p>
    <w:p w14:paraId="3F5A15B0" w14:textId="18FF4608" w:rsidR="00481795" w:rsidRDefault="006D677B" w:rsidP="000024A1">
      <w:pPr>
        <w:spacing w:line="480" w:lineRule="auto"/>
      </w:pPr>
      <w:r>
        <w:t>This, however, was not possible in this case.</w:t>
      </w:r>
      <w:r w:rsidR="00481795">
        <w:t xml:space="preserve"> Specifically, the </w:t>
      </w:r>
      <w:r w:rsidR="000807A6">
        <w:t xml:space="preserve">court of appeals explained that the single </w:t>
      </w:r>
      <w:r w:rsidR="00481795">
        <w:t xml:space="preserve">sentence letter opinion provided no basis from which </w:t>
      </w:r>
      <w:r w:rsidR="000807A6">
        <w:t>it could glean the</w:t>
      </w:r>
      <w:r w:rsidR="00481795">
        <w:t xml:space="preserve"> trial court’s </w:t>
      </w:r>
      <w:r w:rsidR="00481795">
        <w:lastRenderedPageBreak/>
        <w:t xml:space="preserve">reasoning for its </w:t>
      </w:r>
      <w:r w:rsidR="000807A6">
        <w:t>reduction</w:t>
      </w:r>
      <w:r w:rsidR="00481795">
        <w:t xml:space="preserve">. In such </w:t>
      </w:r>
      <w:r w:rsidR="000807A6">
        <w:t>situations</w:t>
      </w:r>
      <w:r w:rsidR="00481795">
        <w:t xml:space="preserve">, the court noted </w:t>
      </w:r>
      <w:r w:rsidR="000807A6">
        <w:t>it can</w:t>
      </w:r>
      <w:r w:rsidR="00481795">
        <w:t xml:space="preserve"> examine </w:t>
      </w:r>
      <w:r w:rsidR="000807A6">
        <w:t>the record as a whole—including the appealing party’s objection, and any motions or hearings on the subject of attorney fees—to determine whether the court abused its discretion</w:t>
      </w:r>
      <w:r w:rsidR="00481795">
        <w:t xml:space="preserve">. </w:t>
      </w:r>
      <w:r w:rsidR="00D60A92">
        <w:t>In</w:t>
      </w:r>
      <w:r w:rsidR="00481795">
        <w:t xml:space="preserve"> this case, the objection was contained in one sentence</w:t>
      </w:r>
      <w:r w:rsidR="000807A6">
        <w:t>,</w:t>
      </w:r>
      <w:r w:rsidR="00481795">
        <w:t xml:space="preserve"> no hearing was held</w:t>
      </w:r>
      <w:r w:rsidR="000807A6">
        <w:t>, and the motions were insufficient to fully illustrate the potential reasonableness of the award</w:t>
      </w:r>
      <w:r w:rsidR="00481795">
        <w:t>. Accordingly, t</w:t>
      </w:r>
      <w:bookmarkStart w:id="0" w:name="_GoBack"/>
      <w:bookmarkEnd w:id="0"/>
      <w:r w:rsidR="00481795">
        <w:t xml:space="preserve">he court was unable to </w:t>
      </w:r>
      <w:r w:rsidR="00551781">
        <w:t xml:space="preserve">meaningfully </w:t>
      </w:r>
      <w:r w:rsidR="00481795">
        <w:t xml:space="preserve">review the award. </w:t>
      </w:r>
    </w:p>
    <w:p w14:paraId="12035D08" w14:textId="2614AE56" w:rsidR="00481795" w:rsidRDefault="00481795" w:rsidP="000024A1">
      <w:pPr>
        <w:spacing w:line="480" w:lineRule="auto"/>
      </w:pPr>
    </w:p>
    <w:p w14:paraId="39B141B9" w14:textId="60332734" w:rsidR="000807A6" w:rsidRDefault="00481795" w:rsidP="000024A1">
      <w:pPr>
        <w:spacing w:line="480" w:lineRule="auto"/>
      </w:pPr>
      <w:r>
        <w:t>Because of this dearth of guidance, the court was required to remand the attorney fee petition back to the trial court</w:t>
      </w:r>
      <w:r w:rsidR="000807A6">
        <w:t>.</w:t>
      </w:r>
      <w:r>
        <w:t xml:space="preserve"> </w:t>
      </w:r>
      <w:r w:rsidR="000807A6">
        <w:t>It</w:t>
      </w:r>
      <w:r>
        <w:t xml:space="preserve"> instruct</w:t>
      </w:r>
      <w:r w:rsidR="000807A6">
        <w:t>ed the trial court</w:t>
      </w:r>
      <w:r>
        <w:t xml:space="preserve"> to provide enough information </w:t>
      </w:r>
      <w:r w:rsidR="000807A6">
        <w:t>on the</w:t>
      </w:r>
      <w:r>
        <w:t xml:space="preserve"> attorney fee award to “provide the necessary information for meaningful appellate review.” </w:t>
      </w:r>
      <w:r w:rsidR="000807A6">
        <w:t xml:space="preserve">In other words, the trial court had to explain why the 17 factors of ORS 20.075(2) warranted an attorney fee award totaling only 28% of the prevailing party’s requested fees. </w:t>
      </w:r>
    </w:p>
    <w:p w14:paraId="13EC5BFF" w14:textId="77777777" w:rsidR="00551781" w:rsidRDefault="00551781" w:rsidP="000024A1">
      <w:pPr>
        <w:spacing w:line="480" w:lineRule="auto"/>
      </w:pPr>
    </w:p>
    <w:p w14:paraId="6D91F31E" w14:textId="67288E7E" w:rsidR="00551781" w:rsidRDefault="00551781" w:rsidP="000024A1">
      <w:pPr>
        <w:spacing w:line="480" w:lineRule="auto"/>
      </w:pPr>
      <w:r>
        <w:t>This case serves as a reminder that discretionary attorney fees, as the name implies, are</w:t>
      </w:r>
      <w:r w:rsidR="006D677B">
        <w:t xml:space="preserve"> potentially</w:t>
      </w:r>
      <w:r>
        <w:t xml:space="preserve"> subject to reduction by the trial court. When you are involved in a case with discretionary attorney fees, be sure to consult counsel regarding the reasonableness of the prevailing party’s requested fees. If they </w:t>
      </w:r>
      <w:r w:rsidR="006D677B">
        <w:t>seem</w:t>
      </w:r>
      <w:r>
        <w:t xml:space="preserve"> unreasonably high, </w:t>
      </w:r>
      <w:r w:rsidR="00132976">
        <w:t xml:space="preserve">developing arguments based on the 17 factors for why fees should be reduced may be a viable strategy. </w:t>
      </w:r>
    </w:p>
    <w:p w14:paraId="5B25CF10" w14:textId="77777777" w:rsidR="00481795" w:rsidRDefault="00481795" w:rsidP="000024A1">
      <w:pPr>
        <w:spacing w:line="480" w:lineRule="auto"/>
      </w:pPr>
    </w:p>
    <w:p w14:paraId="10FA75D0" w14:textId="13A93D46" w:rsidR="0021587D" w:rsidRDefault="0021587D" w:rsidP="000024A1">
      <w:pPr>
        <w:spacing w:line="480" w:lineRule="auto"/>
      </w:pPr>
      <w:r>
        <w:t>View full opinion at:</w:t>
      </w:r>
    </w:p>
    <w:p w14:paraId="50F9ED01" w14:textId="78ECAF46" w:rsidR="0021587D" w:rsidRDefault="00160860" w:rsidP="000024A1">
      <w:pPr>
        <w:spacing w:line="480" w:lineRule="auto"/>
      </w:pPr>
      <w:r w:rsidRPr="00160860">
        <w:rPr>
          <w:rStyle w:val="Hyperlink"/>
        </w:rPr>
        <w:t>https://cdm17027.contentdm.oclc.org/digital/pdf.js/web/viewer.html?file=/digital/api/collection/p17027coll5/id/21966/download#page=1&amp;zoom=auto</w:t>
      </w:r>
    </w:p>
    <w:p w14:paraId="769DB8FC" w14:textId="77777777" w:rsidR="008A019A" w:rsidRPr="00AF3D5E" w:rsidRDefault="008A019A" w:rsidP="000024A1">
      <w:pPr>
        <w:spacing w:line="480" w:lineRule="auto"/>
      </w:pPr>
    </w:p>
    <w:sectPr w:rsidR="008A019A" w:rsidRPr="00AF3D5E" w:rsidSect="005F3C50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11EB38" w14:textId="77777777" w:rsidR="008E530D" w:rsidRDefault="008E530D" w:rsidP="00A122BF">
      <w:r>
        <w:separator/>
      </w:r>
    </w:p>
  </w:endnote>
  <w:endnote w:type="continuationSeparator" w:id="0">
    <w:p w14:paraId="2DE0369E" w14:textId="77777777" w:rsidR="008E530D" w:rsidRDefault="008E530D" w:rsidP="00A12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36572201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EA4248" w14:textId="07A7F7A7" w:rsidR="0021587D" w:rsidRDefault="0021587D" w:rsidP="0005491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BDC95E7" w14:textId="77777777" w:rsidR="00A122BF" w:rsidRDefault="00A122BF" w:rsidP="0021587D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9363666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2EEB2A" w14:textId="0D1D3E1E" w:rsidR="0021587D" w:rsidRDefault="0021587D" w:rsidP="0005491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57847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4E972187" w14:textId="77777777" w:rsidR="00A122BF" w:rsidRDefault="00A122BF" w:rsidP="0021587D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CF0E69" w14:textId="77777777" w:rsidR="008E530D" w:rsidRDefault="008E530D" w:rsidP="00A122BF">
      <w:r>
        <w:separator/>
      </w:r>
    </w:p>
  </w:footnote>
  <w:footnote w:type="continuationSeparator" w:id="0">
    <w:p w14:paraId="06B10539" w14:textId="77777777" w:rsidR="008E530D" w:rsidRDefault="008E530D" w:rsidP="00A12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D5E"/>
    <w:rsid w:val="000024A1"/>
    <w:rsid w:val="000350BE"/>
    <w:rsid w:val="000807A6"/>
    <w:rsid w:val="000853E3"/>
    <w:rsid w:val="000C7287"/>
    <w:rsid w:val="00132976"/>
    <w:rsid w:val="00160860"/>
    <w:rsid w:val="0021587D"/>
    <w:rsid w:val="002C5F75"/>
    <w:rsid w:val="002F64AD"/>
    <w:rsid w:val="003139C7"/>
    <w:rsid w:val="00481795"/>
    <w:rsid w:val="004E01DF"/>
    <w:rsid w:val="004E3901"/>
    <w:rsid w:val="004F01BD"/>
    <w:rsid w:val="00551781"/>
    <w:rsid w:val="005B515A"/>
    <w:rsid w:val="005F3C50"/>
    <w:rsid w:val="006D677B"/>
    <w:rsid w:val="00751FA7"/>
    <w:rsid w:val="007C2F94"/>
    <w:rsid w:val="007D1D9C"/>
    <w:rsid w:val="008A019A"/>
    <w:rsid w:val="008E530D"/>
    <w:rsid w:val="00996C7A"/>
    <w:rsid w:val="009C12D3"/>
    <w:rsid w:val="00A122BF"/>
    <w:rsid w:val="00AF3D5E"/>
    <w:rsid w:val="00B0184B"/>
    <w:rsid w:val="00B55D9C"/>
    <w:rsid w:val="00B903E3"/>
    <w:rsid w:val="00C27234"/>
    <w:rsid w:val="00C31A68"/>
    <w:rsid w:val="00C57847"/>
    <w:rsid w:val="00CA2870"/>
    <w:rsid w:val="00CA5971"/>
    <w:rsid w:val="00CA7183"/>
    <w:rsid w:val="00CC31D2"/>
    <w:rsid w:val="00D25A3A"/>
    <w:rsid w:val="00D60A92"/>
    <w:rsid w:val="00D6469F"/>
    <w:rsid w:val="00DC1D3D"/>
    <w:rsid w:val="00E70196"/>
    <w:rsid w:val="00F10337"/>
    <w:rsid w:val="00F7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8EFBDD"/>
  <w14:defaultImageDpi w14:val="32767"/>
  <w15:chartTrackingRefBased/>
  <w15:docId w15:val="{43F9DA84-80E4-284C-8BF1-93081237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22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2BF"/>
  </w:style>
  <w:style w:type="paragraph" w:styleId="Footer">
    <w:name w:val="footer"/>
    <w:basedOn w:val="Normal"/>
    <w:link w:val="FooterChar"/>
    <w:uiPriority w:val="99"/>
    <w:unhideWhenUsed/>
    <w:rsid w:val="00A122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2BF"/>
  </w:style>
  <w:style w:type="paragraph" w:styleId="NormalWeb">
    <w:name w:val="Normal (Web)"/>
    <w:basedOn w:val="Normal"/>
    <w:uiPriority w:val="99"/>
    <w:semiHidden/>
    <w:unhideWhenUsed/>
    <w:rsid w:val="009C12D3"/>
    <w:pPr>
      <w:spacing w:before="100" w:beforeAutospacing="1" w:after="100" w:afterAutospacing="1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21587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21587D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21587D"/>
  </w:style>
  <w:style w:type="paragraph" w:styleId="BalloonText">
    <w:name w:val="Balloon Text"/>
    <w:basedOn w:val="Normal"/>
    <w:link w:val="BalloonTextChar"/>
    <w:uiPriority w:val="99"/>
    <w:semiHidden/>
    <w:unhideWhenUsed/>
    <w:rsid w:val="000350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0B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1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F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F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Stiman</dc:creator>
  <cp:keywords/>
  <dc:description/>
  <cp:lastModifiedBy>William A. Stinman</cp:lastModifiedBy>
  <cp:revision>5</cp:revision>
  <cp:lastPrinted>2019-01-17T20:03:00Z</cp:lastPrinted>
  <dcterms:created xsi:type="dcterms:W3CDTF">2019-01-17T20:24:00Z</dcterms:created>
  <dcterms:modified xsi:type="dcterms:W3CDTF">2019-01-17T21:01:00Z</dcterms:modified>
</cp:coreProperties>
</file>